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Pr>
          <w:rFonts w:hint="eastAsia" w:ascii="Arial" w:hAnsi="Arial" w:cs="Arial"/>
          <w:b/>
          <w:color w:val="000000"/>
          <w:sz w:val="24"/>
          <w:szCs w:val="24"/>
        </w:rPr>
        <w:t>R4-2203586</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February 21 – March 3,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Signalling characteristics of RedCap UEs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10.20.3.1.4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 xml:space="preserve">In RAN4 101-e-bis, there were discussions on signalling related issues for RedCap UEs. </w:t>
      </w:r>
    </w:p>
    <w:p>
      <w:pPr>
        <w:rPr>
          <w:rFonts w:hint="default" w:eastAsia="宋体"/>
          <w:sz w:val="22"/>
          <w:szCs w:val="22"/>
          <w:lang w:val="en-US" w:eastAsia="zh-CN"/>
        </w:rPr>
      </w:pPr>
      <w:r>
        <w:rPr>
          <w:rFonts w:hint="eastAsia" w:eastAsia="宋体"/>
          <w:sz w:val="22"/>
          <w:szCs w:val="22"/>
          <w:lang w:val="en-US" w:eastAsia="zh-CN"/>
        </w:rPr>
        <w:t>In the WF [1] the options were captured, and we copy paste some of the issues here to further discuss.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lang w:val="en-US" w:eastAsia="zh-CN"/>
              </w:rPr>
            </w:pPr>
            <w:r>
              <w:rPr>
                <w:b/>
                <w:color w:val="000000" w:themeColor="text1"/>
                <w:u w:val="single"/>
                <w:lang w:eastAsia="ko-KR"/>
                <w14:textFill>
                  <w14:solidFill>
                    <w14:schemeClr w14:val="tx1"/>
                  </w14:solidFill>
                </w14:textFill>
              </w:rPr>
              <w:t>New BWP switching delay when only center-frequency is changed in Rel-17</w:t>
            </w:r>
          </w:p>
          <w:p>
            <w:pPr>
              <w:pStyle w:val="26"/>
              <w:numPr>
                <w:ilvl w:val="1"/>
                <w:numId w:val="6"/>
              </w:numPr>
              <w:overflowPunct/>
              <w:autoSpaceDE/>
              <w:autoSpaceDN/>
              <w:adjustRightInd/>
              <w:spacing w:after="120" w:line="252" w:lineRule="auto"/>
              <w:ind w:firstLineChars="0"/>
              <w:textAlignment w:val="auto"/>
              <w:rPr>
                <w:bCs/>
              </w:rPr>
            </w:pPr>
            <w:r>
              <w:rPr>
                <w:b/>
              </w:rPr>
              <w:t>Option 1 (CMCC, E///, HW, Nokia):</w:t>
            </w:r>
            <w:r>
              <w:rPr>
                <w:bCs/>
              </w:rPr>
              <w:t>  Define new BWP switching delay involving only changing of the center-frequency of the BWP without changing its BW, SCS or any other parameter for RF retuning as follows:</w:t>
            </w:r>
          </w:p>
          <w:tbl>
            <w:tblPr>
              <w:tblStyle w:val="18"/>
              <w:tblW w:w="0" w:type="auto"/>
              <w:jc w:val="center"/>
              <w:tblLayout w:type="autofit"/>
              <w:tblCellMar>
                <w:top w:w="0" w:type="dxa"/>
                <w:left w:w="0" w:type="dxa"/>
                <w:bottom w:w="0" w:type="dxa"/>
                <w:right w:w="0" w:type="dxa"/>
              </w:tblCellMar>
            </w:tblPr>
            <w:tblGrid>
              <w:gridCol w:w="1622"/>
              <w:gridCol w:w="1666"/>
              <w:gridCol w:w="1666"/>
            </w:tblGrid>
            <w:tr>
              <w:tblPrEx>
                <w:tblCellMar>
                  <w:top w:w="0" w:type="dxa"/>
                  <w:left w:w="0" w:type="dxa"/>
                  <w:bottom w:w="0" w:type="dxa"/>
                  <w:right w:w="0" w:type="dxa"/>
                </w:tblCellMar>
              </w:tblPrEx>
              <w:trPr>
                <w:jc w:val="center"/>
              </w:trPr>
              <w:tc>
                <w:tcPr>
                  <w:tcW w:w="0" w:type="auto"/>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rPr>
                      <w:u w:val="single"/>
                    </w:rPr>
                  </w:pPr>
                  <w:r>
                    <w:rPr>
                      <w:u w:val="single"/>
                    </w:rPr>
                    <w:t>Frequency Range</w:t>
                  </w:r>
                </w:p>
              </w:tc>
              <w:tc>
                <w:tcPr>
                  <w:tcW w:w="0" w:type="auto"/>
                  <w:tcBorders>
                    <w:top w:val="single" w:color="auto" w:sz="8" w:space="0"/>
                    <w:left w:val="nil"/>
                    <w:bottom w:val="single" w:color="auto" w:sz="8" w:space="0"/>
                    <w:right w:val="single" w:color="auto" w:sz="8" w:space="0"/>
                  </w:tcBorders>
                  <w:tcMar>
                    <w:top w:w="0" w:type="dxa"/>
                    <w:left w:w="108" w:type="dxa"/>
                    <w:bottom w:w="0" w:type="dxa"/>
                    <w:right w:w="108" w:type="dxa"/>
                  </w:tcMar>
                </w:tcPr>
                <w:p>
                  <w:pPr>
                    <w:rPr>
                      <w:u w:val="single"/>
                    </w:rPr>
                  </w:pPr>
                  <w:r>
                    <w:rPr>
                      <w:u w:val="single"/>
                    </w:rPr>
                    <w:t>Type 1 Delay (us)</w:t>
                  </w:r>
                </w:p>
              </w:tc>
              <w:tc>
                <w:tcPr>
                  <w:tcW w:w="0" w:type="auto"/>
                  <w:tcBorders>
                    <w:top w:val="single" w:color="auto" w:sz="8" w:space="0"/>
                    <w:left w:val="nil"/>
                    <w:bottom w:val="single" w:color="auto" w:sz="8" w:space="0"/>
                    <w:right w:val="single" w:color="auto" w:sz="8" w:space="0"/>
                  </w:tcBorders>
                  <w:tcMar>
                    <w:top w:w="0" w:type="dxa"/>
                    <w:left w:w="108" w:type="dxa"/>
                    <w:bottom w:w="0" w:type="dxa"/>
                    <w:right w:w="108" w:type="dxa"/>
                  </w:tcMar>
                </w:tcPr>
                <w:p>
                  <w:pPr>
                    <w:rPr>
                      <w:u w:val="single"/>
                    </w:rPr>
                  </w:pPr>
                  <w:r>
                    <w:rPr>
                      <w:u w:val="single"/>
                    </w:rPr>
                    <w:t>Type 2 Delay (us)</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rPr>
                      <w:u w:val="single"/>
                    </w:rPr>
                  </w:pPr>
                  <w:r>
                    <w:rPr>
                      <w:u w:val="single"/>
                    </w:rPr>
                    <w:t>1</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rPr>
                      <w:u w:val="single"/>
                    </w:rPr>
                  </w:pPr>
                  <w:r>
                    <w:rPr>
                      <w:u w:val="single"/>
                    </w:rPr>
                    <w:t>200</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rPr>
                      <w:u w:val="single"/>
                    </w:rPr>
                  </w:pPr>
                  <w:r>
                    <w:rPr>
                      <w:u w:val="single"/>
                    </w:rPr>
                    <w:t>1050</w:t>
                  </w:r>
                </w:p>
              </w:tc>
            </w:tr>
            <w:tr>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108" w:type="dxa"/>
                    <w:bottom w:w="0" w:type="dxa"/>
                    <w:right w:w="108" w:type="dxa"/>
                  </w:tcMar>
                </w:tcPr>
                <w:p>
                  <w:pPr>
                    <w:rPr>
                      <w:u w:val="single"/>
                    </w:rPr>
                  </w:pPr>
                  <w:r>
                    <w:rPr>
                      <w:u w:val="single"/>
                    </w:rPr>
                    <w:t>2</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rPr>
                      <w:u w:val="single"/>
                    </w:rPr>
                  </w:pPr>
                  <w:r>
                    <w:rPr>
                      <w:u w:val="single"/>
                    </w:rPr>
                    <w:t>200</w:t>
                  </w:r>
                </w:p>
              </w:tc>
              <w:tc>
                <w:tcPr>
                  <w:tcW w:w="0" w:type="auto"/>
                  <w:tcBorders>
                    <w:top w:val="nil"/>
                    <w:left w:val="nil"/>
                    <w:bottom w:val="single" w:color="auto" w:sz="8" w:space="0"/>
                    <w:right w:val="single" w:color="auto" w:sz="8" w:space="0"/>
                  </w:tcBorders>
                  <w:tcMar>
                    <w:top w:w="0" w:type="dxa"/>
                    <w:left w:w="108" w:type="dxa"/>
                    <w:bottom w:w="0" w:type="dxa"/>
                    <w:right w:w="108" w:type="dxa"/>
                  </w:tcMar>
                </w:tcPr>
                <w:p>
                  <w:pPr>
                    <w:rPr>
                      <w:u w:val="single"/>
                    </w:rPr>
                  </w:pPr>
                  <w:r>
                    <w:rPr>
                      <w:u w:val="single"/>
                    </w:rPr>
                    <w:t>1050</w:t>
                  </w:r>
                </w:p>
              </w:tc>
            </w:tr>
          </w:tbl>
          <w:p>
            <w:pPr>
              <w:pStyle w:val="26"/>
              <w:numPr>
                <w:ilvl w:val="0"/>
                <w:numId w:val="0"/>
              </w:numPr>
              <w:overflowPunct/>
              <w:autoSpaceDE/>
              <w:autoSpaceDN/>
              <w:adjustRightInd/>
              <w:spacing w:after="120"/>
              <w:textAlignment w:val="auto"/>
              <w:rPr>
                <w:rFonts w:hint="eastAsia" w:eastAsia="Times New Roman"/>
                <w:lang w:val="en-US" w:eastAsia="zh-CN"/>
              </w:rPr>
            </w:pPr>
            <w:r>
              <w:rPr>
                <w:b/>
              </w:rPr>
              <w:t>Option 2 (Xiaomi, vivo, Oppo, ZTE, MTK, QC, Apple):</w:t>
            </w:r>
            <w:r>
              <w:rPr>
                <w:bCs/>
              </w:rPr>
              <w:t xml:space="preserve"> RAN4 to reuse the legacy BWP switching delay for RedCap UE in Rel-17.</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eastAsia"/>
          <w:b/>
          <w:bCs w:val="0"/>
          <w:sz w:val="22"/>
          <w:szCs w:val="22"/>
          <w:lang w:val="en-US" w:eastAsia="zh-CN"/>
        </w:rPr>
      </w:pPr>
      <w:r>
        <w:t>2</w:t>
      </w:r>
      <w:r>
        <w:tab/>
      </w:r>
      <w:r>
        <w:rPr>
          <w:rFonts w:hint="eastAsia"/>
          <w:lang w:val="en-US" w:eastAsia="zh-CN"/>
        </w:rPr>
        <w:t>Discussions</w:t>
      </w:r>
    </w:p>
    <w:p>
      <w:pPr>
        <w:rPr>
          <w:rFonts w:hint="eastAsia"/>
          <w:b/>
          <w:bCs w:val="0"/>
          <w:sz w:val="22"/>
          <w:szCs w:val="22"/>
          <w:lang w:val="en-US" w:eastAsia="zh-CN"/>
        </w:rPr>
      </w:pPr>
      <w:r>
        <w:rPr>
          <w:b/>
          <w:color w:val="000000" w:themeColor="text1"/>
          <w:sz w:val="22"/>
          <w:szCs w:val="22"/>
          <w:u w:val="single"/>
          <w:lang w:eastAsia="ko-KR"/>
          <w14:textFill>
            <w14:solidFill>
              <w14:schemeClr w14:val="tx1"/>
            </w14:solidFill>
          </w14:textFill>
        </w:rPr>
        <w:t>New BWP switching delay when only center-frequency is changed in Rel-17</w:t>
      </w:r>
      <w:r>
        <w:rPr>
          <w:rFonts w:eastAsia="Yu Mincho"/>
          <w:b/>
          <w:color w:val="000000" w:themeColor="text1"/>
          <w:u w:val="single"/>
          <w:lang w:eastAsia="ko-KR"/>
          <w14:textFill>
            <w14:solidFill>
              <w14:schemeClr w14:val="tx1"/>
            </w14:solidFill>
          </w14:textFill>
        </w:rPr>
        <w:t xml:space="preserve"> </w:t>
      </w:r>
    </w:p>
    <w:p>
      <w:pPr>
        <w:rPr>
          <w:rFonts w:hint="eastAsia" w:eastAsia="宋体"/>
          <w:sz w:val="22"/>
          <w:szCs w:val="22"/>
          <w:lang w:val="en-US" w:eastAsia="zh-CN"/>
        </w:rPr>
      </w:pPr>
      <w:r>
        <w:rPr>
          <w:rFonts w:hint="eastAsia"/>
          <w:b w:val="0"/>
          <w:bCs/>
          <w:sz w:val="22"/>
          <w:szCs w:val="22"/>
          <w:lang w:val="en-US" w:eastAsia="zh-CN"/>
        </w:rPr>
        <w:t>Here the s</w:t>
      </w:r>
      <w:r>
        <w:rPr>
          <w:rFonts w:hint="eastAsia"/>
          <w:lang w:val="en-US" w:eastAsia="zh-CN"/>
        </w:rPr>
        <w:t>cenario is that s</w:t>
      </w:r>
      <w:r>
        <w:rPr>
          <w:sz w:val="22"/>
          <w:szCs w:val="22"/>
        </w:rPr>
        <w:t>ince CD-SSBs may not be transmitted in the RedCap configured initial BWP, the UE may have to perform RF retuning in order to switch to different BWP (e.g. initial BWP) to receive those signals.</w:t>
      </w:r>
      <w:r>
        <w:rPr>
          <w:rFonts w:hint="eastAsia" w:eastAsia="宋体"/>
          <w:sz w:val="22"/>
          <w:szCs w:val="22"/>
          <w:lang w:val="en-US" w:eastAsia="zh-CN"/>
        </w:rPr>
        <w:t xml:space="preserve"> And in this case, only the center-frequency is changed. We observe that BWP switching with only center frequency changed is also a possible case for legacy UEs, and no enhancement is made with that regard.</w:t>
      </w:r>
    </w:p>
    <w:p>
      <w:pPr>
        <w:rPr>
          <w:rFonts w:hint="eastAsia" w:eastAsia="宋体"/>
          <w:sz w:val="22"/>
          <w:szCs w:val="22"/>
          <w:lang w:val="en-US" w:eastAsia="zh-CN"/>
        </w:rPr>
      </w:pPr>
      <w:r>
        <w:rPr>
          <w:rFonts w:hint="eastAsia" w:eastAsia="宋体"/>
          <w:b/>
          <w:bCs/>
          <w:sz w:val="22"/>
          <w:szCs w:val="22"/>
          <w:lang w:val="en-US" w:eastAsia="zh-CN"/>
        </w:rPr>
        <w:t xml:space="preserve">Observation 1: </w:t>
      </w:r>
      <w:r>
        <w:rPr>
          <w:rFonts w:hint="eastAsia" w:eastAsia="宋体"/>
          <w:sz w:val="22"/>
          <w:szCs w:val="22"/>
          <w:lang w:val="en-US" w:eastAsia="zh-CN"/>
        </w:rPr>
        <w:t>BWP switching with only center frequency changed is also a possible case for legacy UEs, and no enhancement is made with that regard.</w:t>
      </w:r>
    </w:p>
    <w:p>
      <w:pPr>
        <w:rPr>
          <w:rFonts w:hint="default" w:eastAsia="宋体"/>
          <w:sz w:val="22"/>
          <w:szCs w:val="22"/>
          <w:lang w:val="en-US" w:eastAsia="zh-CN"/>
        </w:rPr>
      </w:pPr>
      <w:r>
        <w:rPr>
          <w:rFonts w:hint="eastAsia" w:eastAsia="宋体"/>
          <w:sz w:val="22"/>
          <w:szCs w:val="22"/>
          <w:lang w:val="en-US" w:eastAsia="zh-CN"/>
        </w:rPr>
        <w:t>Thus, we propose to re-use the legacy requirements and not to require RedCap UEs to meet stricter requirements than legacy UEs.</w:t>
      </w:r>
    </w:p>
    <w:p>
      <w:pPr>
        <w:pStyle w:val="36"/>
        <w:rPr>
          <w:rFonts w:hint="default" w:eastAsia="宋体"/>
          <w:sz w:val="22"/>
          <w:szCs w:val="22"/>
          <w:lang w:val="en-US" w:eastAsia="zh-CN"/>
        </w:rPr>
      </w:pPr>
      <w:r>
        <w:rPr>
          <w:rFonts w:hint="eastAsia"/>
          <w:b/>
          <w:bCs w:val="0"/>
          <w:sz w:val="22"/>
          <w:szCs w:val="22"/>
          <w:lang w:val="en-US" w:eastAsia="zh-CN"/>
        </w:rPr>
        <w:t xml:space="preserve">Reuse legacy BWP switching delay when </w:t>
      </w:r>
      <w:r>
        <w:rPr>
          <w:rFonts w:hint="eastAsia" w:eastAsia="宋体"/>
          <w:sz w:val="22"/>
          <w:szCs w:val="22"/>
          <w:lang w:val="en-US" w:eastAsia="zh-CN"/>
        </w:rPr>
        <w:t>only center frequency is changed</w:t>
      </w:r>
      <w:r>
        <w:rPr>
          <w:rFonts w:hint="eastAsia"/>
          <w:b/>
          <w:bCs w:val="0"/>
          <w:sz w:val="22"/>
          <w:szCs w:val="22"/>
          <w:lang w:val="en-US" w:eastAsia="zh-CN"/>
        </w:rPr>
        <w:t>.</w:t>
      </w:r>
    </w:p>
    <w:p>
      <w:pPr>
        <w:pStyle w:val="28"/>
        <w:jc w:val="both"/>
      </w:pPr>
      <w:r>
        <w:rPr>
          <w:rFonts w:hint="eastAsia"/>
          <w:lang w:val="en-US" w:eastAsia="zh-CN"/>
        </w:rPr>
        <w:t>3</w:t>
      </w:r>
      <w:r>
        <w:tab/>
      </w:r>
      <w:r>
        <w:t>Conclusion</w:t>
      </w:r>
    </w:p>
    <w:p>
      <w:pPr>
        <w:rPr>
          <w:rFonts w:hint="eastAsia" w:eastAsia="宋体"/>
          <w:sz w:val="22"/>
          <w:szCs w:val="22"/>
          <w:lang w:val="en-US" w:eastAsia="zh-CN"/>
        </w:rPr>
      </w:pPr>
      <w:r>
        <w:rPr>
          <w:rFonts w:hint="eastAsia" w:eastAsia="宋体"/>
          <w:b/>
          <w:bCs/>
          <w:sz w:val="22"/>
          <w:szCs w:val="22"/>
          <w:lang w:val="en-US" w:eastAsia="zh-CN"/>
        </w:rPr>
        <w:t xml:space="preserve">Observation 1: </w:t>
      </w:r>
      <w:r>
        <w:rPr>
          <w:rFonts w:hint="eastAsia" w:eastAsia="宋体"/>
          <w:sz w:val="22"/>
          <w:szCs w:val="22"/>
          <w:lang w:val="en-US" w:eastAsia="zh-CN"/>
        </w:rPr>
        <w:t>BWP switching with only center frequency changed is also a possible case for legacy UEs, and no enhancement is made with that regard.</w:t>
      </w:r>
    </w:p>
    <w:p>
      <w:pPr>
        <w:pStyle w:val="36"/>
        <w:numPr>
          <w:ilvl w:val="0"/>
          <w:numId w:val="0"/>
        </w:numPr>
        <w:ind w:leftChars="0"/>
        <w:rPr>
          <w:rFonts w:hint="eastAsia"/>
          <w:b/>
          <w:bCs w:val="0"/>
          <w:sz w:val="22"/>
          <w:szCs w:val="22"/>
          <w:lang w:val="en-US" w:eastAsia="zh-CN"/>
        </w:rPr>
      </w:pPr>
      <w:r>
        <w:rPr>
          <w:rFonts w:hint="eastAsia"/>
          <w:b/>
          <w:bCs w:val="0"/>
          <w:sz w:val="22"/>
          <w:szCs w:val="22"/>
          <w:lang w:val="en-US" w:eastAsia="zh-CN"/>
        </w:rPr>
        <w:t xml:space="preserve">Proposal 1: Reuse legacy BWP switching delay when </w:t>
      </w:r>
      <w:r>
        <w:rPr>
          <w:rFonts w:hint="eastAsia" w:eastAsia="宋体"/>
          <w:sz w:val="22"/>
          <w:szCs w:val="22"/>
          <w:lang w:val="en-US" w:eastAsia="zh-CN"/>
        </w:rPr>
        <w:t>only center frequency is changed</w:t>
      </w:r>
      <w:r>
        <w:rPr>
          <w:rFonts w:hint="eastAsia"/>
          <w:b/>
          <w:bCs w:val="0"/>
          <w:sz w:val="22"/>
          <w:szCs w:val="22"/>
          <w:lang w:val="en-US" w:eastAsia="zh-CN"/>
        </w:rPr>
        <w:t>.</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R4-2202670</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3FC587F"/>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6B4F6F"/>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993985"/>
    <w:rsid w:val="28C759BF"/>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233CCF"/>
    <w:rsid w:val="3A6B6F88"/>
    <w:rsid w:val="3AC125B3"/>
    <w:rsid w:val="3AF216E5"/>
    <w:rsid w:val="3B0B15C3"/>
    <w:rsid w:val="3B164016"/>
    <w:rsid w:val="3B30671A"/>
    <w:rsid w:val="3B5662AC"/>
    <w:rsid w:val="3B981241"/>
    <w:rsid w:val="3BBB2E68"/>
    <w:rsid w:val="3BE47152"/>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4D41A3"/>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1D62972"/>
    <w:rsid w:val="52012FAC"/>
    <w:rsid w:val="5280421D"/>
    <w:rsid w:val="52A5736B"/>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17318"/>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CED228C"/>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23196"/>
    <w:rsid w:val="7A080BBF"/>
    <w:rsid w:val="7A4F2396"/>
    <w:rsid w:val="7A787ECB"/>
    <w:rsid w:val="7A875FC6"/>
    <w:rsid w:val="7A8B51CB"/>
    <w:rsid w:val="7A984514"/>
    <w:rsid w:val="7AB507FA"/>
    <w:rsid w:val="7AC634CB"/>
    <w:rsid w:val="7ACB482C"/>
    <w:rsid w:val="7AF137EF"/>
    <w:rsid w:val="7AFD36E1"/>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2022-02-11T11:03:26Z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